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A56CF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5D7DF4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5D7DF4" w:rsidRPr="005D7DF4">
        <w:rPr>
          <w:b/>
          <w:color w:val="000000" w:themeColor="text1"/>
        </w:rPr>
        <w:t>Ремонт помещений Братского отделения ООО "Иркутскэнергосбыт"</w:t>
      </w:r>
      <w:r w:rsidR="005D7DF4">
        <w:rPr>
          <w:b/>
          <w:color w:val="000000" w:themeColor="text1"/>
        </w:rPr>
        <w:t xml:space="preserve"> по адресу: </w:t>
      </w:r>
      <w:r w:rsidR="005D7DF4" w:rsidRPr="005D7DF4">
        <w:rPr>
          <w:b/>
          <w:color w:val="000000" w:themeColor="text1"/>
        </w:rPr>
        <w:t xml:space="preserve">Иркутская обл., г. Братск, </w:t>
      </w:r>
      <w:r w:rsidR="00A02F95">
        <w:rPr>
          <w:b/>
          <w:color w:val="000000" w:themeColor="text1"/>
        </w:rPr>
        <w:t xml:space="preserve">ул. </w:t>
      </w:r>
      <w:r w:rsidR="005D7DF4" w:rsidRPr="005D7DF4">
        <w:rPr>
          <w:b/>
          <w:color w:val="000000" w:themeColor="text1"/>
        </w:rPr>
        <w:t>25</w:t>
      </w:r>
      <w:r w:rsidR="00D016CD">
        <w:rPr>
          <w:b/>
          <w:color w:val="000000" w:themeColor="text1"/>
        </w:rPr>
        <w:t>-</w:t>
      </w:r>
      <w:r w:rsidR="005D7DF4" w:rsidRPr="005D7DF4">
        <w:rPr>
          <w:b/>
          <w:color w:val="000000" w:themeColor="text1"/>
        </w:rPr>
        <w:t>летия БГС, 37</w:t>
      </w:r>
      <w:r w:rsidR="009153C7">
        <w:rPr>
          <w:b/>
          <w:color w:val="000000" w:themeColor="text1"/>
        </w:rPr>
        <w:t xml:space="preserve">Б </w:t>
      </w:r>
      <w:r w:rsidR="00DA129B">
        <w:rPr>
          <w:b/>
        </w:rPr>
        <w:t xml:space="preserve">(Инв. № ИЭС 000266720)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 1), дефектной ведомостью № 1 (Приложение № 2), локальным ресурсным сметным расчетом №1 (Приложение №3) и в срок, установленный графиком производства работ № 1 (Приложение № 4);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445BE8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445BE8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6822B2" w:rsidRPr="005B5F6E" w:rsidRDefault="006822B2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3.1.16.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76271E">
        <w:rPr>
          <w:bCs/>
          <w:color w:val="000000" w:themeColor="text1"/>
        </w:rPr>
        <w:t xml:space="preserve">Соглашение о соблюдении Требования в области информационной безопасности при выполнении работ (оказании услуг) с использованием информационных средств ООО «Иркутскэнергосбыт </w:t>
      </w:r>
      <w:r w:rsidRPr="009E41BB">
        <w:rPr>
          <w:bCs/>
        </w:rPr>
        <w:t>(</w:t>
      </w:r>
      <w:r>
        <w:rPr>
          <w:color w:val="000000" w:themeColor="text1"/>
        </w:rPr>
        <w:t>Приложение № 12)</w:t>
      </w:r>
      <w:r w:rsidR="003637E0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6822B2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6822B2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6822B2">
        <w:rPr>
          <w:color w:val="000000" w:themeColor="text1"/>
        </w:rPr>
        <w:t>9</w:t>
      </w:r>
      <w:r w:rsidRPr="008E3201">
        <w:rPr>
          <w:color w:val="000000" w:themeColor="text1"/>
        </w:rPr>
        <w:t xml:space="preserve"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</w:t>
      </w:r>
      <w:r w:rsidRPr="008E3201">
        <w:rPr>
          <w:color w:val="000000" w:themeColor="text1"/>
        </w:rPr>
        <w:lastRenderedPageBreak/>
        <w:t>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774DA2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822B2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6822B2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F67BD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6822B2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5A56CF">
        <w:rPr>
          <w:color w:val="000000" w:themeColor="text1"/>
        </w:rPr>
        <w:t>7</w:t>
      </w:r>
      <w:r w:rsidR="00F5204F">
        <w:rPr>
          <w:color w:val="000000" w:themeColor="text1"/>
        </w:rPr>
        <w:t>5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</w:t>
      </w:r>
      <w:bookmarkStart w:id="1" w:name="_GoBack"/>
      <w:bookmarkEnd w:id="1"/>
      <w:r w:rsidRPr="008E3201">
        <w:rPr>
          <w:color w:val="000000" w:themeColor="text1"/>
        </w:rPr>
        <w:t>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2E716B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10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11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830CFA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5264A2" w:rsidRDefault="007B14DB" w:rsidP="005264A2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BB3540" w:rsidRPr="00D85FF9" w:rsidRDefault="00BB3540" w:rsidP="00BB3540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29780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lastRenderedPageBreak/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 xml:space="preserve">2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>- Приложение № 4 -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A275F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A275F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A275F5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A275F5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9143DA" w:rsidRDefault="009143DA" w:rsidP="009143DA">
      <w:pPr>
        <w:jc w:val="both"/>
        <w:rPr>
          <w:bCs/>
        </w:rPr>
      </w:pPr>
      <w:r>
        <w:rPr>
          <w:bCs/>
        </w:rPr>
        <w:t>- Приложение № 1</w:t>
      </w:r>
      <w:r w:rsidR="00345DB6">
        <w:rPr>
          <w:bCs/>
        </w:rPr>
        <w:t>2</w:t>
      </w:r>
      <w:r>
        <w:rPr>
          <w:bCs/>
        </w:rPr>
        <w:t xml:space="preserve"> - </w:t>
      </w:r>
      <w:r w:rsidRPr="00AF1216">
        <w:rPr>
          <w:bCs/>
        </w:rPr>
        <w:t>Требования в области информационной безопасности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sectPr w:rsidR="00D13CBF" w:rsidRPr="008E3063" w:rsidSect="00DC2FAB">
      <w:footerReference w:type="default" r:id="rId8"/>
      <w:pgSz w:w="11906" w:h="16838"/>
      <w:pgMar w:top="426" w:right="707" w:bottom="142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5E8" w:rsidRDefault="00B175E8" w:rsidP="00F347FB">
      <w:r>
        <w:separator/>
      </w:r>
    </w:p>
  </w:endnote>
  <w:endnote w:type="continuationSeparator" w:id="0">
    <w:p w:rsidR="00B175E8" w:rsidRDefault="00B175E8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1D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5E8" w:rsidRDefault="00B175E8" w:rsidP="00F347FB">
      <w:r>
        <w:separator/>
      </w:r>
    </w:p>
  </w:footnote>
  <w:footnote w:type="continuationSeparator" w:id="0">
    <w:p w:rsidR="00B175E8" w:rsidRDefault="00B175E8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0FB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22C2"/>
    <w:rsid w:val="004379EE"/>
    <w:rsid w:val="00437E90"/>
    <w:rsid w:val="00440358"/>
    <w:rsid w:val="00441C89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500102"/>
    <w:rsid w:val="005002DA"/>
    <w:rsid w:val="00502459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24A9"/>
    <w:rsid w:val="00E6330F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098B"/>
    <w:rsid w:val="00EB141B"/>
    <w:rsid w:val="00EB2104"/>
    <w:rsid w:val="00EB36DD"/>
    <w:rsid w:val="00EB46F7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8677E6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2393C-9DC7-4063-9BAA-1BAF8DC9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9</Pages>
  <Words>5056</Words>
  <Characters>28822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261</cp:revision>
  <cp:lastPrinted>2021-11-11T06:22:00Z</cp:lastPrinted>
  <dcterms:created xsi:type="dcterms:W3CDTF">2020-05-19T13:05:00Z</dcterms:created>
  <dcterms:modified xsi:type="dcterms:W3CDTF">2022-04-13T08:47:00Z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